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BC" w:rsidRDefault="00B118BC" w:rsidP="00B118BC">
      <w:pPr>
        <w:keepNext/>
        <w:widowControl w:val="0"/>
        <w:tabs>
          <w:tab w:val="left" w:pos="720"/>
        </w:tabs>
        <w:rPr>
          <w:b/>
          <w:bCs/>
          <w:sz w:val="26"/>
          <w:szCs w:val="28"/>
        </w:rPr>
      </w:pPr>
      <w:r>
        <w:rPr>
          <w:b/>
          <w:bCs/>
          <w:sz w:val="26"/>
          <w:szCs w:val="28"/>
        </w:rPr>
        <w:t xml:space="preserve">Статья 36. Полномочия Администрации поселения 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b/>
        </w:rPr>
      </w:pP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b/>
        </w:rPr>
      </w:pPr>
      <w:r>
        <w:rPr>
          <w:rFonts w:cs="Arial"/>
        </w:rPr>
        <w:t>1. Помимо решения иных вопросов, предусмотренных законодательством Российской Федерации, законодательством Республики Алтай, настоящим Уставом, к полномочиям Администрации поселения относится: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1) составление проекта местного бюджета, исполнение местного бюджета, осуществление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его исполнением, составление отчета о его исполнении;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2) установление, изменение и отмена местных налогов и сборов сельского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3) владение, пользование и распоряжение имуществом, находящимся в муниципальной собственности сельского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4) обеспечение первичных мер пожарной безопасности в границах населенных пунктов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5)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6) создание условий для организации досуга и обеспечения жителей сельского поселения услугами организаций культуры;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7) обеспечение условий для развития на территории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сельского 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8) формирование архивных фондов сельского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 xml:space="preserve">9) разработка правил благоустройства территории поселения, осуществление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их соблюдением, организация благоустройства территории поселения в соответствии с указанными правилами;</w:t>
      </w:r>
    </w:p>
    <w:p w:rsidR="00B118BC" w:rsidRDefault="00B118BC" w:rsidP="00B118BC">
      <w:pPr>
        <w:keepNext/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sz w:val="20"/>
          <w:szCs w:val="20"/>
        </w:rPr>
        <w:t xml:space="preserve">(в редакции </w:t>
      </w:r>
      <w:hyperlink r:id="rId4" w:tgtFrame="ChangingDocument" w:history="1">
        <w:r>
          <w:rPr>
            <w:rStyle w:val="a3"/>
            <w:sz w:val="20"/>
            <w:szCs w:val="20"/>
          </w:rPr>
          <w:t>решения Совета депутатов Кокоринского сельского поселения от 10.04.2018 № 42-1</w:t>
        </w:r>
      </w:hyperlink>
      <w:r>
        <w:rPr>
          <w:rFonts w:cs="Arial"/>
          <w:sz w:val="20"/>
          <w:szCs w:val="20"/>
        </w:rPr>
        <w:t>)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12) организация и осуществление мероприятий по работе с детьми и молодежью в сельском поселении;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  <w:bCs/>
          <w:iCs/>
        </w:rPr>
        <w:t>13)</w:t>
      </w:r>
      <w:r>
        <w:rPr>
          <w:rFonts w:cs="Arial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>
        <w:rPr>
          <w:rFonts w:cs="Arial"/>
          <w:iCs/>
        </w:rPr>
        <w:t>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14)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15)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proofErr w:type="gramStart"/>
      <w:r>
        <w:rPr>
          <w:rFonts w:cs="Arial"/>
        </w:rPr>
        <w:t xml:space="preserve">16)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5" w:tgtFrame="Logical" w:history="1">
        <w:r>
          <w:rPr>
            <w:rStyle w:val="a3"/>
          </w:rPr>
          <w:t>Градостроительным кодексом</w:t>
        </w:r>
      </w:hyperlink>
      <w:r>
        <w:rPr>
          <w:rFonts w:cs="Arial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</w:t>
      </w:r>
      <w:r>
        <w:rPr>
          <w:rFonts w:cs="Arial"/>
        </w:rPr>
        <w:lastRenderedPageBreak/>
        <w:t>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cs="Arial"/>
        </w:rPr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17) организация ритуальных услуг и содержание мест захоронения;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18) осуществление мер по противодействию коррупции в границах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19)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20) участие в предупреждении и ликвидации последствий чрезвычайных ситуаций в границах поселения;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21)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22)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  <w:iCs/>
        </w:rPr>
      </w:pPr>
      <w:r>
        <w:rPr>
          <w:rFonts w:cs="Arial"/>
        </w:rPr>
        <w:t>23) осуществление мероприятий по обеспечению безопасности людей на водных объектах, охране их жизни и здоровья.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24) заключение соглашений с органами местного самоуправления муниципального образования «Кош-Агачский район» Республики Алтай о передаче им части полномочий органов местного самоуправления Кокоринского сельского поселения по решению вопросов местного значения поселения за счет межбюджетных трансфертов, предоставляемых из бюджета поселения в бюджет муниципального образования «Кош-Агачский район» Республики Алтай;</w:t>
      </w:r>
    </w:p>
    <w:p w:rsidR="00B118BC" w:rsidRDefault="00B118BC" w:rsidP="00B118BC">
      <w:pPr>
        <w:keepNext/>
        <w:widowControl w:val="0"/>
        <w:tabs>
          <w:tab w:val="left" w:pos="720"/>
        </w:tabs>
        <w:rPr>
          <w:rFonts w:cs="Arial"/>
        </w:rPr>
      </w:pPr>
      <w:r>
        <w:rPr>
          <w:rFonts w:cs="Arial"/>
        </w:rPr>
        <w:t>25) привлечение граждан к выполнению на добровольной основе социально значимых для поселения работ (в том числе дежурств) в целях решения предусмотренных федеральным законом вопросов местного значения поселения;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26) разработка и осуществление мер по реализации государственной политики в сфере трудовых отношений и иных непосредственно с ними  связанных отношений, в том числе, оплаты труда, развития социального партнерства и коллективно-договорного регулирования трудовых отношений, урегулирования трудовых споров, улучшения условий и охраны труда работников;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27)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28) разработка программы комплексного развития систем коммунальной инфраструктуры поселения, программы комплексного развития транспортной инфраструктуры поселения, программы комплексного развития социальной инфраструктуры поселения, требования к которым устанавливаются Правительством Российской Федерации;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 xml:space="preserve">29) учреждение печатного средства массовой информации для опубликования муниципальных правовых актов, обсуждения проектов </w:t>
      </w:r>
      <w:r>
        <w:rPr>
          <w:rFonts w:cs="Arial"/>
        </w:rPr>
        <w:lastRenderedPageBreak/>
        <w:t>муниципальных правовых актов по вопросам местного значения, доведения до сведения жителей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 xml:space="preserve">30) принятие по согласованию с Советом депутатов решений о создании, реорганизации и ликвидации муниципальных предприятий и учреждений, 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31)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 и услуг для обеспечения муниципальных нужд;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32) определение целей, условий и порядка деятельности муниципальных предприятий и учреждений, утверждение уставов муниципальных предприятий и учреждений, назначение на должность и освобождение от должности руководителей данных предприятий и учреждений;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 xml:space="preserve">33) определение порядка заслушивания отчетов руководителей муниципальных предприятий, учреждений </w:t>
      </w:r>
      <w:proofErr w:type="gramStart"/>
      <w:r>
        <w:rPr>
          <w:rFonts w:cs="Arial"/>
        </w:rPr>
        <w:t>о</w:t>
      </w:r>
      <w:proofErr w:type="gramEnd"/>
      <w:r>
        <w:rPr>
          <w:rFonts w:cs="Arial"/>
        </w:rPr>
        <w:t xml:space="preserve"> их деятельности;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 xml:space="preserve">34) наделение имуществом муниципальных предприятий и учреждений, осуществление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его использованием по назначению и сохранностью;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35) исполнение функций муниципального заказчика при осуществлении закупок товаров, работ, услуг для обеспечения муниципальных нужд;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36) осуществление организационного и материально-технического обеспечения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и преобразования поселения;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37) организация сбора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установленном порядке;</w:t>
      </w:r>
    </w:p>
    <w:p w:rsidR="00B118BC" w:rsidRDefault="00B118BC" w:rsidP="00B118BC">
      <w:pPr>
        <w:keepNext/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sz w:val="20"/>
          <w:szCs w:val="20"/>
        </w:rPr>
        <w:t xml:space="preserve">(в редакции </w:t>
      </w:r>
      <w:hyperlink r:id="rId6" w:tgtFrame="ChangingDocument" w:history="1">
        <w:r>
          <w:rPr>
            <w:rStyle w:val="a3"/>
            <w:sz w:val="20"/>
            <w:szCs w:val="20"/>
          </w:rPr>
          <w:t>решения Совета депутатов Кокоринского сельского поселения от 10.04.2018 № 42-1</w:t>
        </w:r>
      </w:hyperlink>
      <w:r>
        <w:rPr>
          <w:rFonts w:cs="Arial"/>
          <w:sz w:val="20"/>
          <w:szCs w:val="20"/>
        </w:rPr>
        <w:t>)</w:t>
      </w:r>
    </w:p>
    <w:p w:rsidR="00B118BC" w:rsidRDefault="00B118BC" w:rsidP="00B118BC">
      <w:pPr>
        <w:keepNext/>
        <w:widowControl w:val="0"/>
        <w:rPr>
          <w:rFonts w:cs="Arial"/>
        </w:rPr>
      </w:pPr>
      <w:proofErr w:type="gramStart"/>
      <w:r>
        <w:rPr>
          <w:rFonts w:cs="Arial"/>
        </w:rPr>
        <w:t>38)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муниципального контроля за соблюдением требований, установленных федеральными законами, законами Республики Алтай;</w:t>
      </w:r>
      <w:proofErr w:type="gramEnd"/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39) ведение реестра муниципального имущества поселения;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40) выполнение функций участника в хозяйственных обществах и некоммерческих организациях от имени поселения;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41) обеспечение управления муниципальным долгом, осуществление муниципальных заимствований, предоставление муниципальных гарантий в соответствии с Бюджетным кодексом Российской Федерации;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42) организация профессионального образования и дополнительного профессионального образования Главы поселения, депутатов Совета депутатов,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о муниципальной службе;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43) организация и проведение мероприятий, предусмотренных законодательством об энергосбережении и о повышении энергетической эффективности;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lastRenderedPageBreak/>
        <w:t>44) ведение реестра муниципальных служащих в поселении;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  <w:bCs/>
          <w:iCs/>
        </w:rPr>
        <w:t>45)</w:t>
      </w:r>
      <w:r>
        <w:rPr>
          <w:rFonts w:cs="Arial"/>
        </w:rPr>
        <w:t xml:space="preserve"> обеспечение необходимых условий для проведения собраний, митингов, уличных шествий или демонстраций;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46) ведение переговоров по социально-трудовым вопросам, предлагаемым для рассмотрения представителями работников;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47) регистрация трудовых договоров работников с работодателями – физическими лицами;</w:t>
      </w:r>
    </w:p>
    <w:p w:rsidR="00B118BC" w:rsidRDefault="00B118BC" w:rsidP="00B118BC">
      <w:pPr>
        <w:keepNext/>
        <w:widowControl w:val="0"/>
        <w:rPr>
          <w:rFonts w:cs="Arial"/>
        </w:rPr>
      </w:pPr>
      <w:r>
        <w:rPr>
          <w:rFonts w:cs="Arial"/>
        </w:rPr>
        <w:t>48) управление и распоряжение земельными участками, находящимися в собственности поселения.</w:t>
      </w:r>
    </w:p>
    <w:p w:rsidR="00B118BC" w:rsidRDefault="00B118BC" w:rsidP="00B118BC">
      <w:pPr>
        <w:keepNext/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sz w:val="20"/>
          <w:szCs w:val="20"/>
        </w:rPr>
        <w:t xml:space="preserve">(в редакции </w:t>
      </w:r>
      <w:hyperlink r:id="rId7" w:tgtFrame="ChangingDocument" w:history="1">
        <w:r>
          <w:rPr>
            <w:rStyle w:val="a3"/>
            <w:sz w:val="20"/>
            <w:szCs w:val="20"/>
          </w:rPr>
          <w:t>решения Совета депутатов Кокоринского сельского поселения от 10.04.2018 № 42-1</w:t>
        </w:r>
      </w:hyperlink>
      <w:r>
        <w:rPr>
          <w:rFonts w:cs="Arial"/>
          <w:sz w:val="20"/>
          <w:szCs w:val="20"/>
        </w:rPr>
        <w:t>)</w:t>
      </w:r>
    </w:p>
    <w:p w:rsidR="00D52449" w:rsidRDefault="00D52449"/>
    <w:sectPr w:rsidR="00D52449" w:rsidSect="00D52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18BC"/>
    <w:rsid w:val="00B118BC"/>
    <w:rsid w:val="00D52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118BC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118B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10.4.0.9:8082/content/act/c1de8ded-b0ae-4008-a829-549897be0a75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.4.0.9:8082/content/act/c1de8ded-b0ae-4008-a829-549897be0a75.doc" TargetMode="External"/><Relationship Id="rId5" Type="http://schemas.openxmlformats.org/officeDocument/2006/relationships/hyperlink" Target="http://vsrv065-app10.ru99-loc.minjust.ru/content/act/387507c3-b80d-4c0d-9291-8cdc81673f2b.html" TargetMode="External"/><Relationship Id="rId4" Type="http://schemas.openxmlformats.org/officeDocument/2006/relationships/hyperlink" Target="http://10.4.0.9:8082/content/act/c1de8ded-b0ae-4008-a829-549897be0a75.do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1594</Words>
  <Characters>9091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2018-12-07T03:42:00Z</dcterms:created>
  <dcterms:modified xsi:type="dcterms:W3CDTF">2018-12-07T03:44:00Z</dcterms:modified>
</cp:coreProperties>
</file>